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jc w:val="center"/>
        <w:rPr>
          <w:rFonts w:ascii="Times New Roman" w:hAnsi="Times New Roman" w:cs="Times New Roman"/>
          <w:b/>
          <w:b/>
          <w:color w:val="00B0F0"/>
          <w:sz w:val="32"/>
          <w:szCs w:val="32"/>
        </w:rPr>
      </w:pPr>
      <w:r>
        <w:rPr>
          <w:rFonts w:cs="Times New Roman" w:ascii="Times New Roman" w:hAnsi="Times New Roman"/>
          <w:b/>
          <w:color w:val="00B0F0"/>
          <w:sz w:val="32"/>
          <w:szCs w:val="32"/>
        </w:rPr>
        <w:t>Kto a prečo nerešpektuje v SR  Benešove dekréty ?</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4"/>
          <w:szCs w:val="24"/>
        </w:rPr>
      </w:pPr>
      <w:r>
        <w:rPr>
          <w:rFonts w:cs="Times New Roman" w:ascii="Times New Roman" w:hAnsi="Times New Roman"/>
          <w:b/>
          <w:sz w:val="24"/>
          <w:szCs w:val="24"/>
        </w:rPr>
        <w:t>Dámy a páni</w:t>
      </w:r>
      <w:r>
        <w:rPr>
          <w:rFonts w:cs="Times New Roman" w:ascii="Times New Roman" w:hAnsi="Times New Roman"/>
          <w:sz w:val="24"/>
          <w:szCs w:val="24"/>
        </w:rPr>
        <w:t>,</w:t>
      </w:r>
    </w:p>
    <w:p>
      <w:pPr>
        <w:pStyle w:val="PlainText"/>
        <w:jc w:val="both"/>
        <w:rPr>
          <w:rFonts w:ascii="Times New Roman" w:hAnsi="Times New Roman" w:cs="Times New Roman"/>
          <w:sz w:val="24"/>
          <w:szCs w:val="24"/>
        </w:rPr>
      </w:pPr>
      <w:r>
        <w:rPr>
          <w:rFonts w:cs="Times New Roman" w:ascii="Times New Roman" w:hAnsi="Times New Roman"/>
          <w:sz w:val="24"/>
          <w:szCs w:val="24"/>
        </w:rPr>
      </w:r>
    </w:p>
    <w:p>
      <w:pPr>
        <w:pStyle w:val="PlainText"/>
        <w:jc w:val="both"/>
        <w:rPr>
          <w:rFonts w:ascii="Times New Roman" w:hAnsi="Times New Roman" w:cs="Times New Roman"/>
          <w:sz w:val="28"/>
          <w:szCs w:val="28"/>
        </w:rPr>
      </w:pPr>
      <w:r>
        <w:rPr>
          <w:rFonts w:cs="Times New Roman" w:ascii="Times New Roman" w:hAnsi="Times New Roman"/>
          <w:sz w:val="24"/>
          <w:szCs w:val="24"/>
        </w:rPr>
        <w:t>keď je štát v</w:t>
      </w:r>
      <w:r>
        <w:rPr>
          <w:rFonts w:cs="Times New Roman" w:ascii="Times New Roman" w:hAnsi="Times New Roman"/>
          <w:b/>
          <w:sz w:val="24"/>
          <w:szCs w:val="24"/>
        </w:rPr>
        <w:t> </w:t>
      </w:r>
      <w:r>
        <w:rPr>
          <w:rFonts w:cs="Times New Roman" w:ascii="Times New Roman" w:hAnsi="Times New Roman"/>
          <w:sz w:val="24"/>
          <w:szCs w:val="24"/>
        </w:rPr>
        <w:t xml:space="preserve">nepokoji, obrazne, v amplitúde nepokoja, tak  „isté záujmové skupiny“ spochybňujú to, čo je nespochybniteľné, pokiaľ sa vyznávajú najsvätejšie ideály a od nich vyvodené normy. </w:t>
      </w:r>
      <w:r>
        <w:rPr>
          <w:rFonts w:cs="Times New Roman" w:ascii="Times New Roman" w:hAnsi="Times New Roman"/>
          <w:sz w:val="28"/>
          <w:szCs w:val="28"/>
        </w:rPr>
        <w:t>Robia tak preto, že chcú  získať nielen mocenské pozície, nových stúpencov, ale aj majetky. Robia  to preonačením histórie, dávnej aj nedávnej minulosti.</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Ak som povedal „štát v nepokoji“, tak je to platné nielen v SR, ale</w:t>
      </w:r>
      <w:r>
        <w:rPr>
          <w:rFonts w:cs="Times New Roman" w:ascii="Times New Roman" w:hAnsi="Times New Roman"/>
          <w:color w:val="00B050"/>
          <w:sz w:val="28"/>
          <w:szCs w:val="28"/>
        </w:rPr>
        <w:t xml:space="preserve"> </w:t>
      </w:r>
      <w:r>
        <w:rPr>
          <w:rFonts w:cs="Times New Roman" w:ascii="Times New Roman" w:hAnsi="Times New Roman"/>
          <w:sz w:val="28"/>
          <w:szCs w:val="28"/>
        </w:rPr>
        <w:t>takmer vo všetkých štátoch sveta. V niektorých sa tak deje priam druhou a treťou  kozmickou rýchlosťou a je to spojené s vymývaním mozgov pomocou lobistických skupín, prisluhovačov, úradníkov s korupčných chúťkami, a predovšetkým s mediálnym svetom. A práve o mediálnom svete možno povedať, že väčšina titulov je naviazaná na konkrétne záujmové skupiny, pričom niektoré sú skryté. Poväčšinou sú v záujmových skupinách osoby, ktoré sa narodili v čase po Druhej svetovej vojne, s odstupom dvadsiatich rokov – štvrťstoročia,  a   ktoré netušiac vyznávajú múdrosť grónskych Eskimákov,  že „nič nie je nemožné“.</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PlainText"/>
        <w:ind w:firstLine="708"/>
        <w:jc w:val="both"/>
        <w:rPr>
          <w:rFonts w:ascii="Times New Roman" w:hAnsi="Times New Roman" w:cs="Times New Roman"/>
          <w:color w:val="0070C0"/>
          <w:sz w:val="28"/>
          <w:szCs w:val="28"/>
        </w:rPr>
      </w:pPr>
      <w:r>
        <w:rPr>
          <w:rFonts w:cs="Times New Roman" w:ascii="Times New Roman" w:hAnsi="Times New Roman"/>
          <w:color w:val="0070C0"/>
          <w:sz w:val="28"/>
          <w:szCs w:val="28"/>
        </w:rPr>
        <w:t>Existujú teda osoby, a medzi nimi aj „bielogolierové“, ktoré nemajú zábrany. A potom je tu iný Svet s osobami, ktorých prarodičia boli spriahnutí a vo vysokých funkciách v čase Tretej ríše, fašistických a fašizujúcich režimov v celom svete. Európske príklady hodnotového odklonu detí a vnukov od prarodičov, ktorí pôsobili  priamo alebo nepriamo aj na  prípravu a „realizácii holokaustu“, je priam zázračný a svojím spôsobom neuveriteľný. Povojnové režimy ponechali rodinám „stredných a vyšších“ služobníkov nacizmu nielen majetky, ale aj možnosti na všestranný rozvoj a spoločenský rast potomkov. Celý rad týchto potomkov sa dnes pohybuje na najvyššej úrovni Európskej únie, ale aj v celom rade štátov Starého kontinentu.</w:t>
      </w:r>
    </w:p>
    <w:p>
      <w:pPr>
        <w:pStyle w:val="PlainText"/>
        <w:jc w:val="both"/>
        <w:rPr>
          <w:rFonts w:ascii="Times New Roman" w:hAnsi="Times New Roman" w:cs="Times New Roman"/>
          <w:color w:val="0070C0"/>
          <w:sz w:val="28"/>
          <w:szCs w:val="28"/>
        </w:rPr>
      </w:pPr>
      <w:r>
        <w:rPr>
          <w:rFonts w:cs="Times New Roman" w:ascii="Times New Roman" w:hAnsi="Times New Roman"/>
          <w:color w:val="0070C0"/>
          <w:sz w:val="28"/>
          <w:szCs w:val="28"/>
        </w:rPr>
      </w:r>
    </w:p>
    <w:p>
      <w:pPr>
        <w:pStyle w:val="PlainText"/>
        <w:ind w:firstLine="708"/>
        <w:jc w:val="both"/>
        <w:rPr>
          <w:rFonts w:ascii="Times New Roman" w:hAnsi="Times New Roman" w:cs="Times New Roman"/>
          <w:color w:val="0070C0"/>
          <w:sz w:val="28"/>
          <w:szCs w:val="28"/>
        </w:rPr>
      </w:pPr>
      <w:r>
        <w:rPr>
          <w:rFonts w:cs="Times New Roman" w:ascii="Times New Roman" w:hAnsi="Times New Roman"/>
          <w:color w:val="0070C0"/>
          <w:sz w:val="28"/>
          <w:szCs w:val="28"/>
        </w:rPr>
        <w:t>Súčasní potomkovia rodín, v ktorých dominovali starí rodičia oddaní nacistickej ideológii a vyznávačom teroru, v nejednom štáte sú povýšení na roveň národných hrdinov, konajú priam ako anjelské osoby, keď ich slovník je presýtený vyznaniami o mieri a demokracii, o spravodlivosti a o nezmieriteľnosti voči tomu, že devastovalo Svet a priviedlo ho k dvom svetovým vojnám a tiež k prerušovanej príprave na globálnu vojnu, ktorá by nemohla byť iná ako posledná a doslova „súdnym dňom“ pre našu civilizáciu. Ešteže sú, majú dôveru členských štátov EÚ, no i väčšiny voličov vo svojich štátoch, pokiaľ sa uchádzali  napríklad o prezidentské pozície. A podávajú si rúčky, obrazne povedané, s ideologickými protivníkmi, keďže nemajú vôľu na vzájomnú konfrontáciu nielen osobnú, ale ani všeobecnú.</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Je to zvláštne, že  v celom rade prominentných funkcií v našej Európe sú potomkovia tých, ktorí sa cítili, považovali a konali ako „ubermensch“ a ich výsledkom boli milióny zavraždených Slovanov, židov aj Rómov, no i tragicky poznačené osudy viacerých generácií. V súčasnosti ako tu uviedol doktor Šály je to s pamäťou národa inak ako vtedy, aj v závere minulého storočia, lebo je už dosť mladá. Len od zmeny režimu národná pamäť omladla, keď odišlo na večnosť takmer 2,5 milióna našich občanov s pamäťami. A to vytvára priestor novým generáciám, ktoré v čase historických a prelomových udalostí nejestvovali a dnes v záujme svojich ambícií nemajú zábrany tvrdiť bludy. Také, ktoré vyhovujú spomínaným záujmovým skupinám.</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A potomkovia zo spomínaných rodín sa môžu pomiatnuť, lebo majú proti sebe ľudí, ktorí boli vyformovaní práve nimi a v lepšom prípade spiatočníkmi, ktorí sa nezmierili s vývojom po Druhej svetovej vojne a s koncom Studenej vojny.  </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b/>
          <w:sz w:val="28"/>
          <w:szCs w:val="28"/>
        </w:rPr>
        <w:t>Dámy a páni</w:t>
      </w:r>
      <w:r>
        <w:rPr>
          <w:rFonts w:cs="Times New Roman" w:ascii="Times New Roman" w:hAnsi="Times New Roman"/>
          <w:sz w:val="28"/>
          <w:szCs w:val="28"/>
        </w:rPr>
        <w:t>,</w:t>
      </w:r>
    </w:p>
    <w:p>
      <w:pPr>
        <w:pStyle w:val="PlainText"/>
        <w:jc w:val="both"/>
        <w:rPr>
          <w:rFonts w:ascii="Times New Roman" w:hAnsi="Times New Roman" w:cs="Times New Roman"/>
          <w:sz w:val="28"/>
          <w:szCs w:val="28"/>
        </w:rPr>
      </w:pPr>
      <w:r>
        <w:rPr>
          <w:rFonts w:cs="Times New Roman" w:ascii="Times New Roman" w:hAnsi="Times New Roman"/>
          <w:sz w:val="28"/>
          <w:szCs w:val="28"/>
        </w:rPr>
        <w:t>to, že náš štát je na tom biedne s imperatívom „osvojiť si nové myslenie“ a byť vyrovnaný s  pôvodnými princípmi celoeurópskej integrácie dokazujú nielen zverejňované falzifikačné materiály o historických udalostiach, ale v praktickom živote aj snahy o obchádzanie benešových dekrétov. Musím preto dôrazne upozorniť na rad účinných zákonov tvoriacich pramene slovenského práva počnúc rokom 1945 využívaných dodnes. V nejednom prípade ich  nerešpektovanie nie je z neznalosti, ale vedome a bez psychického  defektu,  či skratu.  A príslušné  orgány štátu i keď ide o činnosť, ktorá cielene a kriminálne poškodzuje Slovenskú republiku,  nekonali,  a podľa všetkého  nekonajú.</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 xml:space="preserve">Ak som tento príspevok opatril titulkom </w:t>
      </w:r>
      <w:r>
        <w:rPr>
          <w:rFonts w:cs="Times New Roman" w:ascii="Times New Roman" w:hAnsi="Times New Roman"/>
          <w:b/>
          <w:sz w:val="28"/>
          <w:szCs w:val="28"/>
        </w:rPr>
        <w:t>„Kto a prečo nerešpektuje v SR Benešove dekréty?“</w:t>
      </w:r>
      <w:r>
        <w:rPr>
          <w:rFonts w:cs="Times New Roman" w:ascii="Times New Roman" w:hAnsi="Times New Roman"/>
          <w:sz w:val="28"/>
          <w:szCs w:val="28"/>
        </w:rPr>
        <w:t xml:space="preserve">, tak sa tak stalo kvôli  informáciám, ktoré poskytli dôveryhodné osoby. Je to tiež jasný príklad nielen trestnej činnosti, ale naznačuje aj príklony k dejom a konaniu konkrétnych ľudí kvôli ktorým prezident ČSR E. Beneš po dohode s víťaznými veľmocami prijal predmetné dekréty.   A predovšetkým v tomto roku je akože to „nesúhlasné vnímanie týchto dekrétov“ alarmujúce, a preto časť  </w:t>
      </w:r>
      <w:r>
        <w:rPr>
          <w:rFonts w:cs="Times New Roman" w:ascii="Times New Roman" w:hAnsi="Times New Roman"/>
          <w:b/>
          <w:sz w:val="28"/>
          <w:szCs w:val="28"/>
        </w:rPr>
        <w:t>materiálu</w:t>
      </w:r>
      <w:r>
        <w:rPr>
          <w:rFonts w:cs="Times New Roman" w:ascii="Times New Roman" w:hAnsi="Times New Roman"/>
          <w:sz w:val="28"/>
          <w:szCs w:val="28"/>
        </w:rPr>
        <w:t xml:space="preserve"> o takomto prístupe k štátnej službe zverejňujeme v širších súvislostiach.</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b/>
          <w:b/>
          <w:sz w:val="28"/>
          <w:szCs w:val="28"/>
        </w:rPr>
      </w:pPr>
      <w:r>
        <w:rPr>
          <w:rFonts w:cs="Times New Roman" w:ascii="Times New Roman" w:hAnsi="Times New Roman"/>
          <w:b/>
          <w:sz w:val="28"/>
          <w:szCs w:val="28"/>
        </w:rPr>
        <w:t>Dámy a páni.</w:t>
      </w:r>
    </w:p>
    <w:p>
      <w:pPr>
        <w:pStyle w:val="PlainText"/>
        <w:jc w:val="both"/>
        <w:rPr>
          <w:rFonts w:ascii="Times New Roman" w:hAnsi="Times New Roman" w:cs="Times New Roman"/>
          <w:b/>
          <w:b/>
          <w:sz w:val="28"/>
          <w:szCs w:val="28"/>
        </w:rPr>
      </w:pPr>
      <w:r>
        <w:rPr>
          <w:rFonts w:cs="Times New Roman" w:ascii="Times New Roman" w:hAnsi="Times New Roman"/>
          <w:b/>
          <w:sz w:val="28"/>
          <w:szCs w:val="28"/>
        </w:rPr>
        <w:tab/>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 xml:space="preserve">Slovenský pozemkový fond od polovice roka 2019 začal intenzívne riešiť problémy, ktoré sa zistili v súvislosti so zápismi vlastníckych práv v rámci ROEP - Revízia evidencie pozemkov. </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1</w:t>
      </w:r>
      <w:r>
        <w:rPr>
          <w:rFonts w:cs="Times New Roman" w:ascii="Times New Roman" w:hAnsi="Times New Roman"/>
          <w:sz w:val="28"/>
          <w:szCs w:val="28"/>
        </w:rPr>
        <w:t>. Zistilo sa, že vyše 90% údajov ROEP bolo nesprávne zapísaných – nezodpovedajú skutkovému a právnemu stavu. Boli poškodené vlastnícke práva štátu, právnických osôb i fyzických osôb. Neboli správne zapísané údaje o vlastníkoch, správe majetku a pod.;</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2</w:t>
      </w:r>
      <w:r>
        <w:rPr>
          <w:rFonts w:cs="Times New Roman" w:ascii="Times New Roman" w:hAnsi="Times New Roman"/>
          <w:sz w:val="28"/>
          <w:szCs w:val="28"/>
        </w:rPr>
        <w:t>. Ide o problematiku, ktorá sa týka celého územia Slovenska;</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3</w:t>
      </w:r>
      <w:r>
        <w:rPr>
          <w:rFonts w:cs="Times New Roman" w:ascii="Times New Roman" w:hAnsi="Times New Roman"/>
          <w:sz w:val="28"/>
          <w:szCs w:val="28"/>
        </w:rPr>
        <w:t>. Opomenuli sa zapísať napríklad doklady, ktoré sa viažu k I. a II. pozemkovej reforme, revízie I. a II. pozemkovej reformy, k dekrétom súvisiacim so stratou vlastníckeho práva na základe medzinárodných dohôd a platných zákonných noriem z rokov 1945 – 1948. Neakceptovali sa zákonné predpisy súvisiace s privatizáciou, likvidáciou jednotlivých právnických subjektov, ale aj množstvo dedičských konaní a pod.</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4.</w:t>
      </w:r>
      <w:r>
        <w:rPr>
          <w:rFonts w:cs="Times New Roman" w:ascii="Times New Roman" w:hAnsi="Times New Roman"/>
          <w:sz w:val="28"/>
          <w:szCs w:val="28"/>
        </w:rPr>
        <w:t xml:space="preserve"> Mnohé nesprávne zapísané vlastnícke práva boli následne zneužité a stali sa predmetom neoprávneného obohatenia organizovaných skupín, ako aj jednotlivcov. Zároveň spôsobili rozsiahle škody v rôznych smeroch oprávneným vlastníckym subjektom.</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5.</w:t>
      </w:r>
      <w:r>
        <w:rPr>
          <w:rFonts w:cs="Times New Roman" w:ascii="Times New Roman" w:hAnsi="Times New Roman"/>
          <w:sz w:val="28"/>
          <w:szCs w:val="28"/>
        </w:rPr>
        <w:t xml:space="preserve"> Rozsah škôd je obrovský tak smerom k štátu, ako aj k súkromnému vlastníctvu. Z uvedených dôvodov bola vytvorená medzirezortná skupina, ktorá mala v zmysle zákonných predpisov riešiť vo vzájomnej kooperácii všetkých kompetentných štátnych a verejných orgánov vzniknutú situáciu.</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6.</w:t>
      </w:r>
      <w:r>
        <w:rPr>
          <w:rFonts w:cs="Times New Roman" w:ascii="Times New Roman" w:hAnsi="Times New Roman"/>
          <w:sz w:val="28"/>
          <w:szCs w:val="28"/>
        </w:rPr>
        <w:t xml:space="preserve"> Časť neoprávnených zápisov vlastníckych práv sa týka aj osôb, ktoré spadali do výmeny obyvateľstva na základe medzinárodnej dohody medzi Československom a Maďarskom (tzv. Parížska dohoda) z roku 1946, alebo osôb, ktoré boli konfiškované na základe nariadenia SNR z roku 1945 (vyplývajúce z Postupinskej, Jaltskej dohody, Košického vládneho programu a tzv. Benešových dekrétov). Tieto fakty v rámci ROEPu niekde boli zapísané, niekde nie. Avšak práve tieto nehnuteľnosti sa stali predmetom záujmu rôznych skupín, ktoré sa snažia získať nehnuteľnosti. V záujme toho sa rozpútala dezinformačná kampaň, vyvolávajú sa národnostné vášne a oprava údajov sa stala predmetom nekorektnej politickej kampane niektorých strán. Sú prezentované polopravdy, zamlčujú sa skutočné informácie viažuce sa k zákonným predpisom ohľadne konfiškácie majetku z povojnového obdobia. </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7.</w:t>
      </w:r>
      <w:r>
        <w:rPr>
          <w:rFonts w:cs="Times New Roman" w:ascii="Times New Roman" w:hAnsi="Times New Roman"/>
          <w:sz w:val="28"/>
          <w:szCs w:val="28"/>
        </w:rPr>
        <w:t xml:space="preserve"> Javí sa to tak, že vedenie SPF kooperuje práve so skupinami, ktoré sa snažia zabrániť náprave vlastníckych práv v zmysle platnej legislatívy. Podporuje kampaň voči náprave, poskytuje interné informácie rôznym skupinám, ktoré sa snažia získať vlastníctvo majetku, ktorý patrí štátu, alebo oprávneným fyzickým osobám.</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8.</w:t>
      </w:r>
      <w:r>
        <w:rPr>
          <w:rFonts w:cs="Times New Roman" w:ascii="Times New Roman" w:hAnsi="Times New Roman"/>
          <w:sz w:val="28"/>
          <w:szCs w:val="28"/>
        </w:rPr>
        <w:t xml:space="preserve"> Napriek preukázateľným skutočnostiam, že boli porušené vlastnícke práva Slovenskej republiky, vedenie SPF zastavilo opravy a podporuje nezákonné obohacovanie sa nepravých vlastníkov.</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9</w:t>
      </w:r>
      <w:r>
        <w:rPr>
          <w:rFonts w:cs="Times New Roman" w:ascii="Times New Roman" w:hAnsi="Times New Roman"/>
          <w:sz w:val="28"/>
          <w:szCs w:val="28"/>
        </w:rPr>
        <w:t>. Stále dochádza k dodatočným dedičským konaniam, ktoré nadväzujú na nesprávne zapísané údaje v katastri. Opravné orgány verejnej správy registrujú nesprávne postupy a úkony jednotlivých katastrálnych odborov, ktoré prepisujú vlastníctvo neznámych vlastníkov na nových dedičov. Úrad geodézie a kartografie, ako metodický orgán vydal v tomto smere niekoľko nariadení ako treba postupovať a ktoré doklady sú relevantné.</w:t>
      </w:r>
    </w:p>
    <w:p>
      <w:pPr>
        <w:pStyle w:val="PlainText"/>
        <w:spacing w:before="240" w:after="200"/>
        <w:jc w:val="both"/>
        <w:rPr>
          <w:rFonts w:ascii="Times New Roman" w:hAnsi="Times New Roman" w:cs="Times New Roman"/>
          <w:sz w:val="28"/>
          <w:szCs w:val="28"/>
        </w:rPr>
      </w:pPr>
      <w:r>
        <w:rPr>
          <w:rFonts w:cs="Times New Roman" w:ascii="Times New Roman" w:hAnsi="Times New Roman"/>
          <w:b/>
          <w:sz w:val="28"/>
          <w:szCs w:val="28"/>
        </w:rPr>
        <w:t>10</w:t>
      </w:r>
      <w:r>
        <w:rPr>
          <w:rFonts w:cs="Times New Roman" w:ascii="Times New Roman" w:hAnsi="Times New Roman"/>
          <w:sz w:val="28"/>
          <w:szCs w:val="28"/>
        </w:rPr>
        <w:t>. Týmto stavom sú ukrátení aj tí, ktorí oprávnene získali v rámci oboch reštitučných zákonov právny nárok na vrátenie nehnuteľného vlastníctva. Výrazným spôsobom sa eliminuje usporiadanie vlastníctva v rámci pozemkových úprav. Nemôže sa dosiahnuť náprava vo vlastníctve a prechode vlastníctva na obce a inú územnú samosprávu.</w:t>
      </w:r>
    </w:p>
    <w:p>
      <w:pPr>
        <w:pStyle w:val="PlainText"/>
        <w:spacing w:before="240" w:after="200"/>
        <w:jc w:val="both"/>
        <w:rPr>
          <w:rFonts w:ascii="Times New Roman" w:hAnsi="Times New Roman" w:cs="Times New Roman"/>
          <w:b/>
          <w:b/>
          <w:sz w:val="28"/>
          <w:szCs w:val="28"/>
        </w:rPr>
      </w:pPr>
      <w:r>
        <w:rPr>
          <w:rFonts w:cs="Times New Roman" w:ascii="Times New Roman" w:hAnsi="Times New Roman"/>
          <w:b/>
          <w:sz w:val="28"/>
          <w:szCs w:val="28"/>
        </w:rPr>
        <w:t xml:space="preserve">Dámy a páni, </w:t>
      </w:r>
    </w:p>
    <w:p>
      <w:pPr>
        <w:pStyle w:val="PlainText"/>
        <w:spacing w:before="240" w:after="200"/>
        <w:jc w:val="both"/>
        <w:rPr>
          <w:rFonts w:ascii="Times New Roman" w:hAnsi="Times New Roman" w:cs="Times New Roman"/>
          <w:b/>
          <w:b/>
          <w:sz w:val="28"/>
          <w:szCs w:val="28"/>
        </w:rPr>
      </w:pPr>
      <w:r>
        <w:rPr>
          <w:rFonts w:cs="Times New Roman" w:ascii="Times New Roman" w:hAnsi="Times New Roman"/>
          <w:b/>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chvíľu rozmýšľajme o takýchto údajoch, ktoré naznačujú, o aké bohatstvo tu ide. V  roku 2016 bolo vo vlastníctve SR 169 554 ha pôdy - k 1. 1. 2021 120 074 ha ...  Neznámym  vlastníkom patrilo  297 232 ha k 1. 1. 2021 208 576 ha a to sa týka len pôdy určenej na poľnohospodárske účely. potom je tu pôda na nepoľnohospodárske účely a lesy/lesné spoločenstvá, kde došlo k strate zápisom ROEPu 50 tisíc ha. Je tu aj taká otázka : Koľko % straty je na základe nesprávnych dedičských konaní, alebo prepisom vlastníctva konfiškovaných majetkov ?! To sa dá ťažko vyčísliť. Avšak fond vedie vyše 1300 súdnych sporov týkajúcich sa vlastníckeho práva.  Za rok opravil údaje ROEPu na takmer 200 listoch vlastníctva v prospech SR. </w:t>
      </w:r>
    </w:p>
    <w:p>
      <w:pPr>
        <w:pStyle w:val="PlainText"/>
        <w:jc w:val="both"/>
        <w:rPr>
          <w:rFonts w:ascii="Times New Roman" w:hAnsi="Times New Roman" w:cs="Times New Roman"/>
          <w:sz w:val="28"/>
          <w:szCs w:val="28"/>
        </w:rPr>
      </w:pPr>
      <w:r>
        <w:rPr>
          <w:rFonts w:cs="Times New Roman" w:ascii="Times New Roman" w:hAnsi="Times New Roman"/>
          <w:sz w:val="28"/>
          <w:szCs w:val="28"/>
        </w:rPr>
        <w:t> </w:t>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 xml:space="preserve">Cieľom vlády a fondu je čo najviac vykonať čo na najväčšom území SR pozemkové úpravy (zoceľovanie pozemkov, prehadzovanie do celkov). Lenže, ak sa pred vykonaním pozemkových úprav nedajú do poriadku (nezapíšu ozajstní vlastníci), tak : </w:t>
      </w:r>
      <w:r>
        <w:rPr>
          <w:rFonts w:cs="Times New Roman" w:ascii="Times New Roman" w:hAnsi="Times New Roman"/>
          <w:b/>
          <w:sz w:val="28"/>
          <w:szCs w:val="28"/>
        </w:rPr>
        <w:t>Po prvé/</w:t>
      </w:r>
      <w:r>
        <w:rPr>
          <w:rFonts w:cs="Times New Roman" w:ascii="Times New Roman" w:hAnsi="Times New Roman"/>
          <w:sz w:val="28"/>
          <w:szCs w:val="28"/>
        </w:rPr>
        <w:t xml:space="preserve"> po pozemkových úpravách to legislatíva už neumožňuje; </w:t>
      </w:r>
      <w:r>
        <w:rPr>
          <w:rFonts w:cs="Times New Roman" w:ascii="Times New Roman" w:hAnsi="Times New Roman"/>
          <w:b/>
          <w:sz w:val="28"/>
          <w:szCs w:val="28"/>
        </w:rPr>
        <w:t>Po druhé/</w:t>
      </w:r>
      <w:r>
        <w:rPr>
          <w:rFonts w:cs="Times New Roman" w:ascii="Times New Roman" w:hAnsi="Times New Roman"/>
          <w:sz w:val="28"/>
          <w:szCs w:val="28"/>
        </w:rPr>
        <w:t xml:space="preserve">nevysporiadané vlastnícke práva výrazne eliminujú dokončenie pozemkových úprav; Ak sa nezapíšu správni vlastníci tak : </w:t>
      </w:r>
    </w:p>
    <w:p>
      <w:pPr>
        <w:pStyle w:val="PlainText"/>
        <w:numPr>
          <w:ilvl w:val="0"/>
          <w:numId w:val="1"/>
        </w:numPr>
        <w:jc w:val="both"/>
        <w:rPr>
          <w:rFonts w:ascii="Times New Roman" w:hAnsi="Times New Roman" w:cs="Times New Roman"/>
          <w:sz w:val="28"/>
          <w:szCs w:val="28"/>
        </w:rPr>
      </w:pPr>
      <w:r>
        <w:rPr>
          <w:rFonts w:cs="Times New Roman" w:ascii="Times New Roman" w:hAnsi="Times New Roman"/>
          <w:sz w:val="28"/>
          <w:szCs w:val="28"/>
        </w:rPr>
        <w:t>konfiškáty v SR - SR nemôže plniť reštitučné nároky oprávnených reštituentov</w:t>
      </w:r>
    </w:p>
    <w:p>
      <w:pPr>
        <w:pStyle w:val="PlainText"/>
        <w:numPr>
          <w:ilvl w:val="0"/>
          <w:numId w:val="1"/>
        </w:numPr>
        <w:jc w:val="both"/>
        <w:rPr>
          <w:rFonts w:ascii="Times New Roman" w:hAnsi="Times New Roman" w:cs="Times New Roman"/>
          <w:sz w:val="28"/>
          <w:szCs w:val="28"/>
        </w:rPr>
      </w:pPr>
      <w:r>
        <w:rPr>
          <w:rFonts w:cs="Times New Roman" w:ascii="Times New Roman" w:hAnsi="Times New Roman"/>
          <w:sz w:val="28"/>
          <w:szCs w:val="28"/>
        </w:rPr>
        <w:t>dôjde k nezákonnému obohateniu sa na úkor štátu, pravých vlastníkov,</w:t>
      </w:r>
    </w:p>
    <w:p>
      <w:pPr>
        <w:pStyle w:val="PlainText"/>
        <w:numPr>
          <w:ilvl w:val="0"/>
          <w:numId w:val="1"/>
        </w:numPr>
        <w:jc w:val="both"/>
        <w:rPr>
          <w:rFonts w:ascii="Times New Roman" w:hAnsi="Times New Roman" w:cs="Times New Roman"/>
          <w:sz w:val="28"/>
          <w:szCs w:val="28"/>
        </w:rPr>
      </w:pPr>
      <w:r>
        <w:rPr>
          <w:rFonts w:cs="Times New Roman" w:ascii="Times New Roman" w:hAnsi="Times New Roman"/>
          <w:sz w:val="28"/>
          <w:szCs w:val="28"/>
        </w:rPr>
        <w:t>SR príde o enormné množstvo ornej pôdy - v hre je ešte takmer 500 tisíc ha ornej, lesnej a nepoľnohospodárskej pôdy, ktorá je zapísaná  na neznámych vlastníkov o čo sa usilujú rôzne záujmové skupiny.</w:t>
      </w:r>
    </w:p>
    <w:p>
      <w:pPr>
        <w:pStyle w:val="PlainText"/>
        <w:ind w:firstLine="708"/>
        <w:jc w:val="both"/>
        <w:rPr>
          <w:rFonts w:ascii="Times New Roman" w:hAnsi="Times New Roman" w:cs="Times New Roman"/>
          <w:sz w:val="28"/>
          <w:szCs w:val="28"/>
        </w:rPr>
      </w:pPr>
      <w:r>
        <w:rPr>
          <w:rFonts w:cs="Times New Roman" w:ascii="Times New Roman" w:hAnsi="Times New Roman"/>
          <w:sz w:val="28"/>
          <w:szCs w:val="28"/>
        </w:rPr>
        <w:t>Máme záznam z tlačovej besedy, kde predstaviteľ SPF vyjadril, že sa nebudú uplatňovať Benešove dekréty ani opravovať údaje týkajúce sa maďarských občanov určených na výmenu a  zastavia sa opravy údajov ROEP... Celkove sa to javí tak, že je tu tlak konkrétnych záujmových skupín, národnostnej tlače /ÚjSzó/ a tiež prostredníctvom webovej stránky Madari.sk, a Facebooku proti Slovenskej republike, ktorej záujmy má hájiť Slovenský pozemkový fond. A ten je v tomto roku v defenzíve, ale s laickým hodnotením na červenú kartu, inak zrelý na zásah rezortu a kontrolných orgánov a v konečnom dôsledku  Prokuratúry.</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b/>
          <w:b/>
          <w:sz w:val="28"/>
          <w:szCs w:val="28"/>
        </w:rPr>
      </w:pPr>
      <w:r>
        <w:rPr>
          <w:rFonts w:cs="Times New Roman" w:ascii="Times New Roman" w:hAnsi="Times New Roman"/>
          <w:b/>
          <w:sz w:val="28"/>
          <w:szCs w:val="28"/>
        </w:rPr>
        <w:t>Dámy a páni,</w:t>
      </w:r>
    </w:p>
    <w:p>
      <w:pPr>
        <w:pStyle w:val="PlainText"/>
        <w:jc w:val="both"/>
        <w:rPr>
          <w:rFonts w:ascii="Times New Roman" w:hAnsi="Times New Roman" w:cs="Times New Roman"/>
          <w:sz w:val="28"/>
          <w:szCs w:val="28"/>
        </w:rPr>
      </w:pPr>
      <w:r>
        <w:rPr>
          <w:rFonts w:cs="Times New Roman" w:ascii="Times New Roman" w:hAnsi="Times New Roman"/>
          <w:sz w:val="28"/>
          <w:szCs w:val="28"/>
        </w:rPr>
        <w:t>nejde len o Benešove dekréty, ale o celý rad noriem a napokon aj o Ústavu SR a naše medzinárodné záväzky. Na našej www. zverejníme odkazy na materiály, ktoré majú vzťah k danej téme. Ak som v úvode spomenul „nepokoj“ v našom štáte, pripomenul aj tých, ktorí vyšli z rodín, ktoré sa podpísali pod fašistické vraždenie, porobu s utrpením, scudzenie majetkov všetkého druhu atď., tak dnes jednou z ich povinností zabezpečiť nemennosť vtedy prijatých opatrení, zákonov a medzinárodných dohôd.  Aj spomínané konanie v súvislosti s pozemkami je totiž absurdným príkladom, ako je to na Slovensku a inde s vnímaním fašizmu.</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t>Na záver niekoľko viet, ktoré by mali rezonovať v prezidentskom a vládnom paláci, v priestoroch rezortných ministrov, vyšších územných celkov, miestnej samosprávy... Väčšina tých, ktorí boli riešení podľa Benešových dekrétov za svoju činnosť proti čs. republike, protifašistickému a národnoslobodzovaciemu hnutiu už nie je medzi živými. Verdikty sú však platné a to by mali vnímať tí, ku ktorým sa dostanú podnety na ich obídenie, a v nejednom prípade na nerešpektovanie. Dokonca právoplatne odsúdení sa stali nositeľmi vysokých štátnych vyznamenaní. A navrhovateľom bol v jednom „živom“</w:t>
      </w:r>
      <w:bookmarkStart w:id="0" w:name="_GoBack"/>
      <w:bookmarkEnd w:id="0"/>
      <w:r>
        <w:rPr>
          <w:rFonts w:cs="Times New Roman" w:ascii="Times New Roman" w:hAnsi="Times New Roman"/>
          <w:sz w:val="28"/>
          <w:szCs w:val="28"/>
        </w:rPr>
        <w:t xml:space="preserve"> prípade aj európsky funkcionár, ktorý nepochopil, že by sa mal občanom ospravedlniť a nie tvrdošíjne obhajovať tých, ktorí vedome konali vlastizradne.</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b/>
          <w:b/>
          <w:sz w:val="28"/>
          <w:szCs w:val="28"/>
        </w:rPr>
      </w:pPr>
      <w:r>
        <w:rPr>
          <w:rFonts w:cs="Times New Roman" w:ascii="Times New Roman" w:hAnsi="Times New Roman"/>
          <w:b/>
          <w:sz w:val="28"/>
          <w:szCs w:val="28"/>
        </w:rPr>
        <w:t>Kolektív autorov</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pPr>
      <w:hyperlink r:id="rId2">
        <w:r>
          <w:rPr>
            <w:rStyle w:val="InternetLink"/>
            <w:rFonts w:cs="Times New Roman" w:ascii="Times New Roman" w:hAnsi="Times New Roman"/>
            <w:sz w:val="28"/>
            <w:szCs w:val="28"/>
          </w:rPr>
          <w:t>madari.sk</w:t>
        </w:r>
      </w:hyperlink>
    </w:p>
    <w:p>
      <w:pPr>
        <w:pStyle w:val="PlainText"/>
        <w:jc w:val="both"/>
        <w:rPr/>
      </w:pPr>
      <w:hyperlink r:id="rId3">
        <w:r>
          <w:rPr>
            <w:rStyle w:val="InternetLink"/>
            <w:rFonts w:cs="Times New Roman" w:ascii="Times New Roman" w:hAnsi="Times New Roman"/>
            <w:sz w:val="28"/>
            <w:szCs w:val="28"/>
          </w:rPr>
          <w:t>https://madari.sk/nezaradene/stat-skonfiskoval-stovky-hektarov-pody-odvolavajuc-sa-na-benesove-dekrety</w:t>
        </w:r>
      </w:hyperlink>
    </w:p>
    <w:p>
      <w:pPr>
        <w:pStyle w:val="PlainText"/>
        <w:jc w:val="both"/>
        <w:rPr/>
      </w:pPr>
      <w:hyperlink r:id="rId4">
        <w:r>
          <w:rPr>
            <w:rStyle w:val="InternetLink"/>
            <w:rFonts w:cs="Times New Roman" w:ascii="Times New Roman" w:hAnsi="Times New Roman"/>
            <w:sz w:val="28"/>
            <w:szCs w:val="28"/>
          </w:rPr>
          <w:t>https://ujszo.com/jan-marosz</w:t>
        </w:r>
      </w:hyperlink>
    </w:p>
    <w:p>
      <w:pPr>
        <w:pStyle w:val="PlainText"/>
        <w:jc w:val="both"/>
        <w:rPr/>
      </w:pPr>
      <w:hyperlink r:id="rId5">
        <w:r>
          <w:rPr>
            <w:rStyle w:val="InternetLink"/>
            <w:rFonts w:cs="Times New Roman" w:ascii="Times New Roman" w:hAnsi="Times New Roman"/>
            <w:sz w:val="28"/>
            <w:szCs w:val="28"/>
          </w:rPr>
          <w:t>https://madari.sk/magazin/aktuality/predsedom-zjednotenej-madarskej-strany-aliancia-szovetseg-sa-stal-krisztian-forro</w:t>
        </w:r>
      </w:hyperlink>
    </w:p>
    <w:p>
      <w:pPr>
        <w:pStyle w:val="PlainText"/>
        <w:jc w:val="both"/>
        <w:rPr/>
      </w:pPr>
      <w:hyperlink r:id="rId6">
        <w:r>
          <w:rPr>
            <w:rStyle w:val="InternetLink"/>
            <w:rFonts w:cs="Times New Roman" w:ascii="Times New Roman" w:hAnsi="Times New Roman"/>
            <w:sz w:val="28"/>
            <w:szCs w:val="28"/>
          </w:rPr>
          <w:t>https://www.facebook.com/pozfond/videos/2099879843497615</w:t>
        </w:r>
      </w:hyperlink>
    </w:p>
    <w:p>
      <w:pPr>
        <w:pStyle w:val="PlainText"/>
        <w:jc w:val="both"/>
        <w:rPr/>
      </w:pPr>
      <w:hyperlink r:id="rId7">
        <w:r>
          <w:rPr>
            <w:rStyle w:val="InternetLink"/>
            <w:rFonts w:cs="Times New Roman" w:ascii="Times New Roman" w:hAnsi="Times New Roman"/>
            <w:sz w:val="28"/>
            <w:szCs w:val="28"/>
          </w:rPr>
          <w:t>https://fb.watch/cDowMSUUAp/</w:t>
        </w:r>
      </w:hyperlink>
    </w:p>
    <w:p>
      <w:pPr>
        <w:pStyle w:val="PlainText"/>
        <w:jc w:val="both"/>
        <w:rPr/>
      </w:pPr>
      <w:hyperlink r:id="rId8">
        <w:r>
          <w:rPr>
            <w:rStyle w:val="InternetLink"/>
            <w:rFonts w:cs="Times New Roman" w:ascii="Times New Roman" w:hAnsi="Times New Roman"/>
            <w:color w:val="auto"/>
            <w:sz w:val="28"/>
            <w:szCs w:val="28"/>
          </w:rPr>
          <w:t>www.pozfond.sk</w:t>
        </w:r>
      </w:hyperlink>
    </w:p>
    <w:sectPr>
      <w:footerReference w:type="default" r:id="rId9"/>
      <w:type w:val="nextPage"/>
      <w:pgSz w:w="11906" w:h="16838"/>
      <w:pgMar w:left="1334" w:right="1335"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nsolas">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114300" distR="114300" simplePos="0" locked="0" layoutInCell="1" allowOverlap="1" relativeHeight="6">
              <wp:simplePos x="0" y="0"/>
              <wp:positionH relativeFrom="rightMargin">
                <wp:align>center</wp:align>
              </wp:positionH>
              <wp:positionV relativeFrom="paragraph">
                <wp:align>center</wp:align>
              </wp:positionV>
              <wp:extent cx="513715" cy="442595"/>
              <wp:effectExtent l="0" t="0" r="1905" b="0"/>
              <wp:wrapNone/>
              <wp:docPr id="1" name="AutoShape 1"/>
              <a:graphic xmlns:a="http://schemas.openxmlformats.org/drawingml/2006/main">
                <a:graphicData uri="http://schemas.microsoft.com/office/word/2010/wordprocessingShape">
                  <wps:wsp>
                    <wps:cNvSpPr/>
                    <wps:spPr>
                      <a:xfrm>
                        <a:off x="0" y="0"/>
                        <a:ext cx="513000" cy="442080"/>
                      </a:xfrm>
                      <a:prstGeom prst="flowChartAlternateProcess">
                        <a:avLst/>
                      </a:prstGeom>
                      <a:noFill/>
                      <a:ln>
                        <a:noFill/>
                      </a:ln>
                    </wps:spPr>
                    <wps:style>
                      <a:lnRef idx="0"/>
                      <a:fillRef idx="0"/>
                      <a:effectRef idx="0"/>
                      <a:fontRef idx="minor"/>
                    </wps:style>
                    <wps:txbx>
                      <w:txbxContent>
                        <w:sdt>
                          <w:sdtPr>
                            <w:docPartObj>
                              <w:docPartGallery w:val="Page Numbers (Bottom of Page)"/>
                              <w:docPartUnique w:val="true"/>
                            </w:docPartObj>
                            <w:id w:val="512768726"/>
                          </w:sdtPr>
                          <w:sdtContent>
                            <w:p>
                              <w:pPr>
                                <w:pStyle w:val="Footer"/>
                                <w:pBdr>
                                  <w:top w:val="single" w:sz="12" w:space="1" w:color="9BBB59"/>
                                  <w:bottom w:val="single" w:sz="48" w:space="1" w:color="9BBB59"/>
                                </w:pBdr>
                                <w:jc w:val="center"/>
                                <w:rPr>
                                  <w:color w:val="000000"/>
                                </w:rPr>
                              </w:pPr>
                              <w:r>
                                <w:rPr>
                                  <w:color w:val="000000"/>
                                  <w:sz w:val="28"/>
                                  <w:szCs w:val="28"/>
                                </w:rPr>
                                <w:fldChar w:fldCharType="begin"/>
                              </w:r>
                              <w:r>
                                <w:rPr>
                                  <w:sz w:val="28"/>
                                  <w:szCs w:val="28"/>
                                </w:rPr>
                                <w:instrText> PAGE </w:instrText>
                              </w:r>
                              <w:r>
                                <w:rPr>
                                  <w:sz w:val="28"/>
                                  <w:szCs w:val="28"/>
                                </w:rPr>
                                <w:fldChar w:fldCharType="separate"/>
                              </w:r>
                              <w:r>
                                <w:rPr>
                                  <w:sz w:val="28"/>
                                  <w:szCs w:val="28"/>
                                </w:rPr>
                                <w:t>5</w:t>
                              </w:r>
                              <w:r>
                                <w:rPr>
                                  <w:sz w:val="28"/>
                                  <w:szCs w:val="28"/>
                                </w:rPr>
                                <w:fldChar w:fldCharType="end"/>
                              </w:r>
                            </w:p>
                          </w:sdtContent>
                        </w:sdt>
                      </w:txbxContent>
                    </wps:txbx>
                    <wps:bodyPr>
                      <a:noAutofit/>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AutoShape 1" stroked="f" style="position:absolute;margin-left:13.15pt;margin-top:-11pt;width:40.35pt;height:34.75pt;mso-position-horizontal:center;mso-position-horizontal-relative:page;mso-position-vertical:center" type="shapetype_176">
              <w10:wrap type="square"/>
              <v:fill o:detectmouseclick="t" on="false"/>
              <v:stroke color="#3465a4" joinstyle="round" endcap="flat"/>
              <v:textbox>
                <w:txbxContent>
                  <w:sdt>
                    <w:sdtPr>
                      <w:docPartObj>
                        <w:docPartGallery w:val="Page Numbers (Bottom of Page)"/>
                        <w:docPartUnique w:val="true"/>
                      </w:docPartObj>
                      <w:id w:val="6257877"/>
                    </w:sdtPr>
                    <w:sdtContent>
                      <w:p>
                        <w:pPr>
                          <w:pStyle w:val="Footer"/>
                          <w:pBdr>
                            <w:top w:val="single" w:sz="12" w:space="1" w:color="9BBB59"/>
                            <w:bottom w:val="single" w:sz="48" w:space="1" w:color="9BBB59"/>
                          </w:pBdr>
                          <w:jc w:val="center"/>
                          <w:rPr>
                            <w:color w:val="000000"/>
                          </w:rPr>
                        </w:pPr>
                        <w:r>
                          <w:rPr>
                            <w:color w:val="000000"/>
                            <w:sz w:val="28"/>
                            <w:szCs w:val="28"/>
                          </w:rPr>
                          <w:fldChar w:fldCharType="begin"/>
                        </w:r>
                        <w:r>
                          <w:rPr>
                            <w:sz w:val="28"/>
                            <w:szCs w:val="28"/>
                          </w:rPr>
                          <w:instrText> PAGE </w:instrText>
                        </w:r>
                        <w:r>
                          <w:rPr>
                            <w:sz w:val="28"/>
                            <w:szCs w:val="28"/>
                          </w:rPr>
                          <w:fldChar w:fldCharType="separate"/>
                        </w:r>
                        <w:r>
                          <w:rPr>
                            <w:sz w:val="28"/>
                            <w:szCs w:val="28"/>
                          </w:rPr>
                          <w:t>5</w:t>
                        </w:r>
                        <w:r>
                          <w:rPr>
                            <w:sz w:val="28"/>
                            <w:szCs w:val="28"/>
                          </w:rPr>
                          <w:fldChar w:fldCharType="end"/>
                        </w:r>
                      </w:p>
                    </w:sdtContent>
                  </w:sdt>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rPr>
        <w:sz w:val="28"/>
        <w:b/>
        <w:rFonts w:ascii="Times New Roman" w:hAnsi="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362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byajntextChar" w:customStyle="1">
    <w:name w:val="Obyčajný text Char"/>
    <w:basedOn w:val="DefaultParagraphFont"/>
    <w:link w:val="Obyajntext"/>
    <w:uiPriority w:val="99"/>
    <w:qFormat/>
    <w:rsid w:val="0093754b"/>
    <w:rPr>
      <w:rFonts w:ascii="Consolas" w:hAnsi="Consolas"/>
      <w:sz w:val="21"/>
      <w:szCs w:val="21"/>
    </w:rPr>
  </w:style>
  <w:style w:type="character" w:styleId="HlavikaChar" w:customStyle="1">
    <w:name w:val="Hlavička Char"/>
    <w:basedOn w:val="DefaultParagraphFont"/>
    <w:link w:val="Hlavika"/>
    <w:uiPriority w:val="99"/>
    <w:semiHidden/>
    <w:qFormat/>
    <w:rsid w:val="00e57f3c"/>
    <w:rPr/>
  </w:style>
  <w:style w:type="character" w:styleId="PtaChar" w:customStyle="1">
    <w:name w:val="Päta Char"/>
    <w:basedOn w:val="DefaultParagraphFont"/>
    <w:link w:val="Pta"/>
    <w:uiPriority w:val="99"/>
    <w:qFormat/>
    <w:rsid w:val="00e57f3c"/>
    <w:rPr/>
  </w:style>
  <w:style w:type="character" w:styleId="InternetLink">
    <w:name w:val="Internet Link"/>
    <w:basedOn w:val="DefaultParagraphFont"/>
    <w:uiPriority w:val="99"/>
    <w:semiHidden/>
    <w:unhideWhenUsed/>
    <w:rsid w:val="00141d2a"/>
    <w:rPr>
      <w:color w:val="0000FF"/>
      <w:u w:val="single"/>
    </w:rPr>
  </w:style>
  <w:style w:type="character" w:styleId="ListLabel1">
    <w:name w:val="ListLabel 1"/>
    <w:qFormat/>
    <w:rPr>
      <w:rFonts w:ascii="Times New Roman" w:hAnsi="Times New Roman"/>
      <w:b/>
      <w:sz w:val="28"/>
    </w:rPr>
  </w:style>
  <w:style w:type="character" w:styleId="ListLabel2">
    <w:name w:val="ListLabel 2"/>
    <w:qFormat/>
    <w:rPr>
      <w:rFonts w:ascii="Times New Roman" w:hAnsi="Times New Roman" w:cs="Times New Roman"/>
      <w:color w:val="auto"/>
      <w:sz w:val="28"/>
      <w:szCs w:val="28"/>
    </w:rPr>
  </w:style>
  <w:style w:type="character" w:styleId="ListLabel3">
    <w:name w:val="ListLabel 3"/>
    <w:qFormat/>
    <w:rPr>
      <w:rFonts w:ascii="Times New Roman" w:hAnsi="Times New Roman"/>
      <w:b/>
      <w:sz w:val="28"/>
    </w:rPr>
  </w:style>
  <w:style w:type="character" w:styleId="ListLabel4">
    <w:name w:val="ListLabel 4"/>
    <w:qFormat/>
    <w:rPr>
      <w:rFonts w:ascii="Times New Roman" w:hAnsi="Times New Roman" w:cs="Times New Roman"/>
      <w:sz w:val="28"/>
      <w:szCs w:val="28"/>
    </w:rPr>
  </w:style>
  <w:style w:type="character" w:styleId="ListLabel5">
    <w:name w:val="ListLabel 5"/>
    <w:qFormat/>
    <w:rPr>
      <w:rFonts w:ascii="Times New Roman" w:hAnsi="Times New Roman" w:cs="Times New Roman"/>
      <w:color w:val="auto"/>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ObyajntextChar"/>
    <w:uiPriority w:val="99"/>
    <w:unhideWhenUsed/>
    <w:qFormat/>
    <w:rsid w:val="0093754b"/>
    <w:pPr>
      <w:spacing w:lineRule="auto" w:line="240" w:before="0" w:after="0"/>
    </w:pPr>
    <w:rPr>
      <w:rFonts w:ascii="Consolas" w:hAnsi="Consolas"/>
      <w:sz w:val="21"/>
      <w:szCs w:val="21"/>
    </w:rPr>
  </w:style>
  <w:style w:type="paragraph" w:styleId="Header">
    <w:name w:val="Header"/>
    <w:basedOn w:val="Normal"/>
    <w:link w:val="HlavikaChar"/>
    <w:uiPriority w:val="99"/>
    <w:semiHidden/>
    <w:unhideWhenUsed/>
    <w:rsid w:val="00e57f3c"/>
    <w:pPr>
      <w:tabs>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e57f3c"/>
    <w:pPr>
      <w:tabs>
        <w:tab w:val="center" w:pos="4536" w:leader="none"/>
        <w:tab w:val="right" w:pos="9072"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dari.sk/" TargetMode="External"/><Relationship Id="rId3" Type="http://schemas.openxmlformats.org/officeDocument/2006/relationships/hyperlink" Target="https://madari.sk/nezaradene/stat-skonfiskoval-stovky-hektarov-pody-odvolavajuc-sa-na-benesove-dekrety" TargetMode="External"/><Relationship Id="rId4" Type="http://schemas.openxmlformats.org/officeDocument/2006/relationships/hyperlink" Target="https://ujszo.com/jan-marosz" TargetMode="External"/><Relationship Id="rId5" Type="http://schemas.openxmlformats.org/officeDocument/2006/relationships/hyperlink" Target="https://madari.sk/magazin/aktuality/predsedom-zjednotenej-madarskej-strany-aliancia-szovetseg-sa-stal-krisztian-forro" TargetMode="External"/><Relationship Id="rId6" Type="http://schemas.openxmlformats.org/officeDocument/2006/relationships/hyperlink" Target="https://www.facebook.com/pozfond/videos/2099879843497615" TargetMode="External"/><Relationship Id="rId7" Type="http://schemas.openxmlformats.org/officeDocument/2006/relationships/hyperlink" Target="https://fb.watch/cDowMSUUAp/" TargetMode="External"/><Relationship Id="rId8" Type="http://schemas.openxmlformats.org/officeDocument/2006/relationships/hyperlink" Target="https://www.pozfond.sk/"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3234-3BB4-47FD-A068-1CB45C6B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LibreOffice/6.0.7.3$Linux_X86_64 LibreOffice_project/00m0$Build-3</Application>
  <Pages>5</Pages>
  <Words>1763</Words>
  <Characters>10416</Characters>
  <CharactersWithSpaces>12182</CharactersWithSpaces>
  <Paragraphs>45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2022-05-23T20:04:00Z</dcterms:created>
  <dc:creator>sarka</dc:creator>
  <dc:description/>
  <dc:language>en-US</dc:language>
  <cp:lastModifiedBy/>
  <dcterms:modified xsi:type="dcterms:W3CDTF">2022-10-18T11:15:04Z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